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黑体" w:hAnsi="黑体" w:eastAsia="黑体" w:cs="Times New Roman"/>
          <w:b/>
          <w:kern w:val="0"/>
          <w:sz w:val="32"/>
        </w:rPr>
      </w:pPr>
      <w:r>
        <w:rPr>
          <w:rFonts w:hint="eastAsia" w:ascii="黑体" w:hAnsi="黑体" w:eastAsia="黑体" w:cs="Times New Roman"/>
          <w:b/>
          <w:kern w:val="0"/>
          <w:sz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w:t>
      </w:r>
      <w:r>
        <w:rPr>
          <w:rFonts w:hint="eastAsia" w:ascii="黑体" w:hAnsi="黑体" w:eastAsia="黑体" w:cs="Times New Roman"/>
          <w:b/>
          <w:kern w:val="0"/>
          <w:sz w:val="32"/>
        </w:rPr>
        <w:t>、</w:t>
      </w:r>
      <w:r>
        <w:rPr>
          <w:rFonts w:ascii="黑体" w:hAnsi="黑体" w:eastAsia="黑体" w:cs="Times New Roman"/>
          <w:b/>
          <w:kern w:val="0"/>
          <w:sz w:val="32"/>
        </w:rPr>
        <w:t>住所</w:t>
      </w:r>
      <w:r>
        <w:rPr>
          <w:rFonts w:hint="eastAsia" w:ascii="黑体" w:hAnsi="黑体" w:eastAsia="黑体" w:cs="Times New Roman"/>
          <w:b/>
          <w:kern w:val="0"/>
          <w:sz w:val="32"/>
        </w:rPr>
        <w:t>、</w:t>
      </w:r>
      <w:r>
        <w:rPr>
          <w:rFonts w:ascii="黑体" w:hAnsi="黑体" w:eastAsia="黑体" w:cs="Times New Roman"/>
          <w:b/>
          <w:kern w:val="0"/>
          <w:sz w:val="32"/>
        </w:rPr>
        <w:t>经营范围</w:t>
      </w:r>
      <w:r>
        <w:rPr>
          <w:rFonts w:hint="eastAsia" w:ascii="黑体" w:hAnsi="黑体" w:eastAsia="黑体" w:cs="Times New Roman"/>
          <w:b/>
          <w:kern w:val="0"/>
          <w:sz w:val="32"/>
        </w:rPr>
        <w:t>、</w:t>
      </w:r>
      <w:r>
        <w:rPr>
          <w:rFonts w:ascii="黑体" w:hAnsi="黑体" w:eastAsia="黑体" w:cs="Times New Roman"/>
          <w:b/>
          <w:kern w:val="0"/>
          <w:sz w:val="32"/>
        </w:rPr>
        <w:t>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rPr>
        <w:t>佛山市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ED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bidi="ar"/>
        </w:rPr>
        <w:t>广东</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bookmarkStart w:id="0" w:name="_GoBack"/>
      <w:bookmarkEnd w:id="0"/>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设监事</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EBA6009"/>
    <w:rsid w:val="13C82EBE"/>
    <w:rsid w:val="18662F13"/>
    <w:rsid w:val="27740341"/>
    <w:rsid w:val="2E210DA6"/>
    <w:rsid w:val="30412871"/>
    <w:rsid w:val="31CD25F0"/>
    <w:rsid w:val="357C1953"/>
    <w:rsid w:val="3D6637FD"/>
    <w:rsid w:val="451B7CDE"/>
    <w:rsid w:val="45750D0A"/>
    <w:rsid w:val="45AB3805"/>
    <w:rsid w:val="488C6CB4"/>
    <w:rsid w:val="51906DE2"/>
    <w:rsid w:val="52063744"/>
    <w:rsid w:val="54AA698B"/>
    <w:rsid w:val="56D56C11"/>
    <w:rsid w:val="616E24C9"/>
    <w:rsid w:val="628B2A89"/>
    <w:rsid w:val="64605D35"/>
    <w:rsid w:val="6CA37D42"/>
    <w:rsid w:val="6CB0032D"/>
    <w:rsid w:val="74CE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2024-07-03T09:02:29Z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