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w:t>
      </w:r>
      <w:r>
        <w:rPr>
          <w:rFonts w:hint="eastAsia" w:ascii="黑体" w:hAnsi="黑体" w:eastAsia="黑体" w:cs="黑体"/>
          <w:b/>
          <w:kern w:val="0"/>
          <w:sz w:val="32"/>
          <w:szCs w:val="32"/>
        </w:rPr>
        <w:t>、</w:t>
      </w:r>
      <w:r>
        <w:rPr>
          <w:rFonts w:ascii="黑体" w:hAnsi="黑体" w:eastAsia="黑体" w:cs="黑体"/>
          <w:b/>
          <w:kern w:val="0"/>
          <w:sz w:val="32"/>
          <w:szCs w:val="32"/>
        </w:rPr>
        <w:t>住所</w:t>
      </w:r>
      <w:r>
        <w:rPr>
          <w:rFonts w:hint="eastAsia" w:ascii="黑体" w:hAnsi="黑体" w:eastAsia="黑体" w:cs="黑体"/>
          <w:b/>
          <w:kern w:val="0"/>
          <w:sz w:val="32"/>
          <w:szCs w:val="32"/>
        </w:rPr>
        <w:t>、</w:t>
      </w:r>
      <w:r>
        <w:rPr>
          <w:rFonts w:ascii="黑体" w:hAnsi="黑体" w:eastAsia="黑体" w:cs="黑体"/>
          <w:b/>
          <w:kern w:val="0"/>
          <w:sz w:val="32"/>
          <w:szCs w:val="32"/>
        </w:rPr>
        <w:t>经营范围</w:t>
      </w:r>
      <w:r>
        <w:rPr>
          <w:rFonts w:hint="eastAsia" w:ascii="黑体" w:hAnsi="黑体" w:eastAsia="黑体" w:cs="黑体"/>
          <w:b/>
          <w:kern w:val="0"/>
          <w:sz w:val="32"/>
          <w:szCs w:val="32"/>
        </w:rPr>
        <w:t>、</w:t>
      </w:r>
      <w:r>
        <w:rPr>
          <w:rFonts w:ascii="黑体" w:hAnsi="黑体" w:eastAsia="黑体" w:cs="黑体"/>
          <w:b/>
          <w:kern w:val="0"/>
          <w:sz w:val="32"/>
          <w:szCs w:val="32"/>
        </w:rPr>
        <w:t>营业期限及注册资本</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rPr>
        <w:t>佛山市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u w:val="single"/>
        </w:rPr>
        <w:t>528200</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第七条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；佛山市南海区桂城街道</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；佛山市南海区桂城街道</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；佛山市南海区桂城街道</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第十二条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违反前款规定的，股东应当返还抽逃的出资；给公司造成损失的，负有责任的董事、高级管理人员应当与该股东承担连带赔偿责任。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bookmarkStart w:id="0" w:name="_GoBack"/>
      <w:bookmarkEnd w:id="0"/>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二十九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w:t>
      </w:r>
      <w:r>
        <w:rPr>
          <w:rFonts w:hint="eastAsia" w:ascii="黑体" w:hAnsi="黑体" w:eastAsia="黑体" w:cs="黑体"/>
          <w:b/>
          <w:kern w:val="0"/>
          <w:sz w:val="32"/>
          <w:szCs w:val="32"/>
        </w:rPr>
        <w:t>、</w:t>
      </w:r>
      <w:r>
        <w:rPr>
          <w:rFonts w:ascii="黑体" w:hAnsi="黑体" w:eastAsia="黑体" w:cs="黑体"/>
          <w:b/>
          <w:kern w:val="0"/>
          <w:sz w:val="32"/>
          <w:szCs w:val="32"/>
        </w:rPr>
        <w:t>议事规则</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代表十分之一以上表决权的股东、董事提议召开临时会议的，应当召开临时会议。</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三十六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股东会会议由董事召集，董事不能履行或者不履行召集股东会会议职责的，代表十分之一以上表决权的股东可以自行召集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宋体" w:hAnsi="宋体" w:eastAsia="宋体" w:cs="Times New Roman"/>
          <w:spacing w:val="-2"/>
          <w:kern w:val="0"/>
        </w:rPr>
      </w:pPr>
      <w:r>
        <w:rPr>
          <w:rFonts w:asciiTheme="majorEastAsia" w:hAnsiTheme="majorEastAsia" w:eastAsiaTheme="majorEastAsia" w:cstheme="majorEastAsia"/>
          <w:b/>
          <w:kern w:val="0"/>
        </w:rPr>
        <w:t xml:space="preserve">第三十九条 </w:t>
      </w:r>
      <w:r>
        <w:t>股东按照认缴出资比例行使表决权。</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一</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sz w:val="32"/>
        </w:rPr>
        <w:t>。</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四十六</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Theme="majorEastAsia" w:hAnsiTheme="majorEastAsia" w:eastAsiaTheme="majorEastAsia" w:cstheme="majorEastAsia"/>
          <w:b/>
          <w:kern w:val="0"/>
          <w:sz w:val="32"/>
        </w:rPr>
        <w:t xml:space="preserve">第五十条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第五十一条 </w:t>
      </w:r>
      <w:r>
        <w:rPr>
          <w:rFonts w:hint="eastAsia" w:ascii="宋体" w:hAnsi="宋体" w:eastAsia="宋体" w:cs="Times New Roman"/>
          <w:spacing w:val="-2"/>
          <w:kern w:val="0"/>
          <w:sz w:val="32"/>
        </w:rPr>
        <w:t>董事、高级管理人员未向股东会报告，并经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第五十二条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第五十六条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第五十七条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第五十八条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第五十九条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w:t>
      </w:r>
      <w:r>
        <w:rPr>
          <w:rFonts w:hint="eastAsia" w:ascii="黑体" w:hAnsi="黑体" w:eastAsia="黑体" w:cs="黑体"/>
          <w:b/>
          <w:kern w:val="0"/>
          <w:sz w:val="32"/>
          <w:szCs w:val="32"/>
        </w:rPr>
        <w:t>、</w:t>
      </w:r>
      <w:r>
        <w:rPr>
          <w:rFonts w:ascii="黑体" w:hAnsi="黑体" w:eastAsia="黑体" w:cs="黑体"/>
          <w:b/>
          <w:kern w:val="0"/>
          <w:sz w:val="32"/>
          <w:szCs w:val="32"/>
        </w:rPr>
        <w:t>清算</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w:t>
      </w:r>
      <w:r>
        <w:rPr>
          <w:rFonts w:ascii="宋体" w:hAnsi="宋体" w:eastAsia="宋体" w:cs="Times New Roman"/>
          <w:spacing w:val="-2"/>
          <w:kern w:val="0"/>
          <w:sz w:val="32"/>
        </w:rPr>
        <w:t>依照《</w:t>
      </w:r>
      <w:r>
        <w:rPr>
          <w:rFonts w:hint="default" w:ascii="宋体" w:hAnsi="宋体" w:eastAsia="宋体" w:cs="Times New Roman"/>
          <w:spacing w:val="-2"/>
          <w:kern w:val="0"/>
          <w:sz w:val="32"/>
        </w:rPr>
        <w:t>公司法</w:t>
      </w:r>
      <w:r>
        <w:rPr>
          <w:rFonts w:ascii="宋体" w:hAnsi="宋体" w:eastAsia="宋体" w:cs="Times New Roman"/>
          <w:spacing w:val="-2"/>
          <w:kern w:val="0"/>
          <w:sz w:val="32"/>
        </w:rPr>
        <w:t>》</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六十四</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六十七</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公司股东会召开会议和表决可以采用电子通信方式。</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76B0A"/>
    <w:rsid w:val="001C61F8"/>
    <w:rsid w:val="001E18C0"/>
    <w:rsid w:val="002E48AC"/>
    <w:rsid w:val="003459E8"/>
    <w:rsid w:val="00564322"/>
    <w:rsid w:val="006019F1"/>
    <w:rsid w:val="00684918"/>
    <w:rsid w:val="00706987"/>
    <w:rsid w:val="00AA19FB"/>
    <w:rsid w:val="00D52D06"/>
    <w:rsid w:val="00EA0EC2"/>
    <w:rsid w:val="00F85835"/>
    <w:rsid w:val="0BF55E38"/>
    <w:rsid w:val="1A6E18B6"/>
    <w:rsid w:val="1F396DFF"/>
    <w:rsid w:val="2DEF03AA"/>
    <w:rsid w:val="2E210DA6"/>
    <w:rsid w:val="30197736"/>
    <w:rsid w:val="30412871"/>
    <w:rsid w:val="32DC66F2"/>
    <w:rsid w:val="50C973D7"/>
    <w:rsid w:val="55922B79"/>
    <w:rsid w:val="56D56C11"/>
    <w:rsid w:val="5F292575"/>
    <w:rsid w:val="61044595"/>
    <w:rsid w:val="628F6D86"/>
    <w:rsid w:val="6C5B6877"/>
    <w:rsid w:val="6E4B2704"/>
    <w:rsid w:val="72EA2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1357</Words>
  <Characters>7735</Characters>
  <Lines>64</Lines>
  <Paragraphs>18</Paragraphs>
  <TotalTime>0</TotalTime>
  <ScaleCrop>false</ScaleCrop>
  <LinksUpToDate>false</LinksUpToDate>
  <CharactersWithSpaces>9074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2024-07-03T08:42:27Z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D32119CB70CF406680D02335DD2013E2</vt:lpwstr>
  </property>
</Properties>
</file>